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6488D" w:rsidRPr="0076488D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6488D" w:rsidRPr="0076488D" w:rsidRDefault="0076488D" w:rsidP="0076488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6488D">
              <w:rPr>
                <w:rFonts w:ascii="Times New Roman" w:eastAsia="新細明體" w:hAnsi="Times New Roman" w:cs="Times New Roman"/>
                <w:b/>
                <w:bCs/>
                <w:color w:val="330000"/>
                <w:kern w:val="0"/>
                <w:szCs w:val="24"/>
              </w:rPr>
              <w:t>課程主題：</w:t>
            </w:r>
            <w:r w:rsidRPr="0076488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bookmarkStart w:id="0" w:name="_GoBack"/>
            <w:r w:rsidRPr="0076488D">
              <w:rPr>
                <w:rFonts w:ascii="Times New Roman" w:eastAsia="新細明體" w:hAnsi="Times New Roman" w:cs="Times New Roman"/>
                <w:b/>
                <w:bCs/>
                <w:color w:val="CC0000"/>
                <w:kern w:val="0"/>
                <w:szCs w:val="24"/>
              </w:rPr>
              <w:t>員工請假規定與因應解析實務</w:t>
            </w:r>
            <w:bookmarkEnd w:id="0"/>
          </w:p>
        </w:tc>
      </w:tr>
      <w:tr w:rsidR="0076488D" w:rsidRPr="0076488D">
        <w:trPr>
          <w:trHeight w:val="300"/>
          <w:tblCellSpacing w:w="0" w:type="dxa"/>
        </w:trPr>
        <w:tc>
          <w:tcPr>
            <w:tcW w:w="0" w:type="auto"/>
            <w:shd w:val="clear" w:color="auto" w:fill="80AEFB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</w:rPr>
              <w:t>(</w:t>
            </w:r>
            <w:r w:rsidRPr="0076488D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</w:rPr>
              <w:t>本次課程贈送國貿專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</w:rPr>
              <w:t>書乙冊</w:t>
            </w:r>
            <w:proofErr w:type="gramEnd"/>
            <w:r w:rsidRPr="0076488D">
              <w:rPr>
                <w:rFonts w:ascii="Times New Roman" w:eastAsia="新細明體" w:hAnsi="Times New Roman" w:cs="Times New Roman"/>
                <w:color w:val="0000FF"/>
                <w:kern w:val="0"/>
                <w:sz w:val="20"/>
                <w:szCs w:val="20"/>
              </w:rPr>
              <w:t>)</w:t>
            </w:r>
          </w:p>
        </w:tc>
      </w:tr>
    </w:tbl>
    <w:p w:rsidR="0076488D" w:rsidRPr="0076488D" w:rsidRDefault="0076488D" w:rsidP="0076488D">
      <w:pPr>
        <w:widowControl/>
        <w:rPr>
          <w:rFonts w:ascii="Times New Roman" w:eastAsia="新細明體" w:hAnsi="Times New Roman" w:cs="Times New Roman"/>
          <w:vanish/>
          <w:kern w:val="0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7626"/>
        <w:gridCol w:w="66"/>
        <w:gridCol w:w="66"/>
        <w:gridCol w:w="81"/>
      </w:tblGrid>
      <w:tr w:rsidR="0076488D" w:rsidRPr="0076488D">
        <w:trPr>
          <w:trHeight w:val="1680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開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課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緣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由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及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目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標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勞工各種假期常因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勞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雇雙方認知差異而產生爭議，因此請假規則是人資相關人員與各主管們務必清楚了解的項目。本課程特邀知名勞動法令專家徐啟勝老師，針對請假手續的法律規定及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實務間的衝突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進行分析及舉例，並逐項解析。如特別休假、事、喪婚假、謀職假、病假、公傷假及性別工作平等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各項假別等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，以實際案例協助您解決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各項假別衍生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的法律問題，不但能建立企業內部完善的請假程序，亦能解決勞資雙方對休假認知不同所產生的歧義。</w:t>
            </w:r>
          </w:p>
        </w:tc>
      </w:tr>
      <w:tr w:rsidR="0076488D" w:rsidRPr="0076488D">
        <w:trPr>
          <w:trHeight w:val="525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課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程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對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企業負責人、主管、人資相關人員，及對此議題有興趣者。</w:t>
            </w:r>
          </w:p>
        </w:tc>
      </w:tr>
      <w:tr w:rsidR="0076488D" w:rsidRPr="0076488D">
        <w:trPr>
          <w:trHeight w:val="54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課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程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內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3767"/>
            </w:tblGrid>
            <w:tr w:rsidR="0076488D" w:rsidRPr="0076488D">
              <w:trPr>
                <w:trHeight w:val="7140"/>
                <w:tblCellSpacing w:w="0" w:type="dxa"/>
                <w:jc w:val="center"/>
              </w:trPr>
              <w:tc>
                <w:tcPr>
                  <w:tcW w:w="4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"/>
                    <w:gridCol w:w="174"/>
                    <w:gridCol w:w="3216"/>
                  </w:tblGrid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勞動法中員工享有假期類型有哪些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休假日、休息日及例假日有何差異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員工口頭請假及雇主要求書面請假是否合法？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謀職假請假規定為何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請假未謀職是否該給付謀職假工資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何種假必須事前申請？公司如何規定請假證明應於何時提出？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普通傷病住院及非住院病假之計算？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甚麼狀況下病假之例假日可不給薪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?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員工</w:t>
                        </w:r>
                        <w:proofErr w:type="gramStart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因病留職</w:t>
                        </w:r>
                        <w:proofErr w:type="gramEnd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停薪雇主可以有不</w:t>
                        </w:r>
                        <w:proofErr w:type="gramStart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準</w:t>
                        </w:r>
                        <w:proofErr w:type="gramEnd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權利嗎？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公司是否可將勞工不符請假程序為由視為曠職？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勞工請假可否不給工資或全勤獎金？雇主可否規定曠職一日扣三日薪，合法作法應該為何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特別休假的計算方式？可否要求員工按比例休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員工提出特休時雇主可否准駁？計件、計時人員有沒有特休假？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特休假未休雇主一定要給付應休未休工資或累計至次年度嗎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契約終止時應休未休是否給假如何認定？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公司如何依法規定各項請假要件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未請之喪假是否需工資補償？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喪假相關法定規定？甚麼狀況下喪假不需給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? </w:t>
                        </w:r>
                      </w:p>
                    </w:tc>
                  </w:tr>
                </w:tbl>
                <w:p w:rsidR="0076488D" w:rsidRPr="0076488D" w:rsidRDefault="0076488D" w:rsidP="0076488D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154"/>
                    <w:gridCol w:w="3208"/>
                  </w:tblGrid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spacing w:before="100" w:beforeAutospacing="1" w:after="100" w:afterAutospacing="1"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18.</w:t>
                        </w: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雇主得否以工作需要拒絕員工事假之要求？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一年超過十四日之事假應否包含國定例假日？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公傷</w:t>
                        </w:r>
                        <w:proofErr w:type="gramStart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病假非復健</w:t>
                        </w:r>
                        <w:proofErr w:type="gramEnd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期間可否不給假，要求必須回公司工作？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勞工於職災醫療期間可否解僱？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22..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因職災傷病期間無復健必要，但員工請假雇主之對策為何？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醫囑內容無「不能工作」證明，雇主如何解讀？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勞基法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59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條職災醫療期間薪資補償等應如何轉嫁風險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員工懷孕期間不能工作可請那些假？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lastRenderedPageBreak/>
                          <w:t>26.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產假可否於分娩前提前請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懷孕期間請安胎假薪資應如何給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留職停薪期間員工是否有產假？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員工育嬰留職停薪期間可否請產假？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定期契約員工有沒有產假？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產假可否以其他假替代？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產假經員工同意可否提前銷假上班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陪產假遇週六休息日是否要補假？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生理假應如何</w:t>
                        </w:r>
                        <w:proofErr w:type="gramEnd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判斷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雇主可否要求提供證明？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國定假日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19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天可比照政府機關只紀念不放假嗎？</w:t>
                        </w:r>
                      </w:p>
                    </w:tc>
                  </w:tr>
                  <w:tr w:rsidR="0076488D" w:rsidRPr="007648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6488D" w:rsidRPr="0076488D" w:rsidRDefault="0076488D" w:rsidP="0076488D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甚麼</w:t>
                        </w:r>
                        <w:proofErr w:type="gramStart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狀況下國定</w:t>
                        </w:r>
                        <w:proofErr w:type="gramEnd"/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假日遇到例假日不需補假</w:t>
                        </w:r>
                        <w:r w:rsidRPr="0076488D">
                          <w:rPr>
                            <w:rFonts w:ascii="Times New Roman" w:eastAsia="新細明體" w:hAnsi="Times New Roman" w:cs="Times New Roman"/>
                            <w:kern w:val="0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</w:tbl>
                <w:p w:rsidR="0076488D" w:rsidRPr="0076488D" w:rsidRDefault="0076488D" w:rsidP="0076488D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:rsidR="0076488D" w:rsidRPr="0076488D" w:rsidRDefault="0076488D" w:rsidP="0076488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6488D" w:rsidRPr="0076488D" w:rsidRDefault="0076488D" w:rsidP="0076488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88D" w:rsidRPr="0076488D" w:rsidRDefault="0076488D" w:rsidP="0076488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88D" w:rsidRPr="0076488D" w:rsidRDefault="0076488D" w:rsidP="0076488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88D" w:rsidRPr="0076488D">
        <w:trPr>
          <w:trHeight w:val="630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lastRenderedPageBreak/>
              <w:t>講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師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介</w:t>
            </w:r>
            <w:proofErr w:type="gramEnd"/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紹</w:t>
            </w:r>
            <w:proofErr w:type="gramEnd"/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講師：徐啟勝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現任：柏丞國際管理顧問有限公司執行長、桃園縣人力資源管理協會總幹事。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76488D" w:rsidRPr="0076488D" w:rsidRDefault="0076488D" w:rsidP="0076488D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經歷：廣達電腦等上市櫃公司管理顧問、行政院勞委會職訓局訓練品質（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TTQS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）服務團顧問、科學園區公會、各縣市工商業會、各大學勞動法令、勞資關係與勞動法規、人力資源講師，專長：勞資爭議調解、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勞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健保法規運用與管理、薪資結構調整策略與技巧實務、工作規則與勞動契約訂定實務等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，著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有《專業人資必備小法典》。</w:t>
            </w:r>
          </w:p>
        </w:tc>
      </w:tr>
      <w:tr w:rsidR="0076488D" w:rsidRPr="0076488D">
        <w:trPr>
          <w:trHeight w:val="1545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課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程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安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排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時間：</w:t>
            </w:r>
            <w:r w:rsidRPr="0076488D">
              <w:rPr>
                <w:rFonts w:ascii="Times New Roman" w:eastAsia="新細明體" w:hAnsi="Times New Roman" w:cs="Times New Roman"/>
                <w:color w:val="FF0066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103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年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4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月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23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日（週三）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09:30</w:t>
            </w:r>
            <w:r w:rsidRPr="0076488D">
              <w:rPr>
                <w:rFonts w:ascii="Cambria Math" w:eastAsia="新細明體" w:hAnsi="Cambria Math" w:cs="Cambria Math"/>
                <w:b/>
                <w:bCs/>
                <w:color w:val="FF0066"/>
                <w:kern w:val="0"/>
                <w:sz w:val="20"/>
                <w:szCs w:val="20"/>
              </w:rPr>
              <w:t>∼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16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：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color w:val="FF0066"/>
                <w:kern w:val="0"/>
                <w:sz w:val="20"/>
                <w:szCs w:val="20"/>
              </w:rPr>
              <w:t>30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地點：台北市進出口商業同業公會（台北市松江路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350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號）一樓演講廳</w:t>
            </w:r>
          </w:p>
        </w:tc>
      </w:tr>
      <w:tr w:rsidR="0076488D" w:rsidRPr="0076488D">
        <w:trPr>
          <w:trHeight w:val="630"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報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名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lastRenderedPageBreak/>
              <w:t>費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用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及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注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意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事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項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報名費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3000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元，會員優惠價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2500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元。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76488D" w:rsidRPr="0076488D" w:rsidRDefault="0076488D" w:rsidP="0076488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4/16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前完成報名者，會員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非會員可享定價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95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折優惠＝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2,375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元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/2,850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元。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非會員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人同行且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4/16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前完成報名者，享定價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折優惠＝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2,700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元。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lastRenderedPageBreak/>
              <w:t>非會員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人以上同行且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4/16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前完成報名者，享定價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85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折優惠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=2,550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元。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76488D" w:rsidRPr="0076488D" w:rsidRDefault="0076488D" w:rsidP="0076488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報名費含講義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、午餐、咖啡、茶，及本會國貿實務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系專書乙冊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76488D" w:rsidRPr="0076488D" w:rsidRDefault="0076488D" w:rsidP="0076488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繳費後本會即開立發票（收據），講習當日領取；若需當月發票，請事先來電告知。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76488D" w:rsidRPr="0076488D" w:rsidRDefault="0076488D" w:rsidP="0076488D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已繳費者若不克參加，請於開課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天前告知辦理退費；未於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天前告知恕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退費，本會將於活動後寄送講義及國貿專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書乙冊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。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76488D" w:rsidRPr="0076488D">
        <w:trPr>
          <w:trHeight w:val="1200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lastRenderedPageBreak/>
              <w:t>★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我要參加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4/23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【員工請假規定與因應解析實務】，並採用</w:t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□ ATM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轉帳繳費，請給我專屬的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ATM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轉帳帳號（或直接線上報名，自動產生專屬轉帳帳號）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  <w:t>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信用卡繳費，請給我</w:t>
            </w:r>
            <w:hyperlink r:id="rId6" w:history="1">
              <w:r w:rsidRPr="0076488D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信用卡付款單</w:t>
              </w:r>
            </w:hyperlink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76488D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我的資料：</w:t>
            </w:r>
          </w:p>
          <w:p w:rsidR="0076488D" w:rsidRPr="0076488D" w:rsidRDefault="0076488D" w:rsidP="0076488D">
            <w:pPr>
              <w:widowControl/>
              <w:spacing w:before="30" w:after="30"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會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員，開立收據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若不知是否具本會會員資格，請至本會網站－會員資料查詢系統查詢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  <w:t>□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非會員，開立三聯式發票，統一編號：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  <w:t>□</w:t>
            </w:r>
            <w:proofErr w:type="gramStart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個</w:t>
            </w:r>
            <w:proofErr w:type="gramEnd"/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，開立二聯式發票</w:t>
            </w:r>
            <w:r w:rsidRPr="0076488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316A8" w:rsidRPr="0076488D" w:rsidRDefault="006316A8"/>
    <w:sectPr w:rsidR="006316A8" w:rsidRPr="0076488D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96B"/>
    <w:multiLevelType w:val="multilevel"/>
    <w:tmpl w:val="5C8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17A2C"/>
    <w:multiLevelType w:val="multilevel"/>
    <w:tmpl w:val="71FA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8D"/>
    <w:rsid w:val="00333B40"/>
    <w:rsid w:val="006316A8"/>
    <w:rsid w:val="006F19DB"/>
    <w:rsid w:val="0076488D"/>
    <w:rsid w:val="0083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ll.xmr3.com/p/21044-803185-AFF7/32799715/clickto1_-upload-1030423creditcard.do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桃園縣進出口公會</cp:lastModifiedBy>
  <cp:revision>1</cp:revision>
  <dcterms:created xsi:type="dcterms:W3CDTF">2014-03-27T07:36:00Z</dcterms:created>
  <dcterms:modified xsi:type="dcterms:W3CDTF">2014-03-27T07:38:00Z</dcterms:modified>
</cp:coreProperties>
</file>